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DE924" w14:textId="6A2EA051" w:rsidR="00DC3091" w:rsidRDefault="00DC3091" w:rsidP="001F27CB">
      <w:pPr>
        <w:shd w:val="clear" w:color="auto" w:fill="FFFFFF"/>
        <w:spacing w:after="0" w:line="240" w:lineRule="auto"/>
        <w:rPr>
          <w:rFonts w:ascii="Times New Roman" w:eastAsia="Times New Roman" w:hAnsi="Times New Roman" w:cs="Times New Roman"/>
          <w:b/>
          <w:bCs/>
          <w:color w:val="232222"/>
          <w:sz w:val="24"/>
          <w:szCs w:val="23"/>
        </w:rPr>
      </w:pPr>
      <w:r>
        <w:rPr>
          <w:rFonts w:ascii="Times New Roman" w:eastAsia="Times New Roman" w:hAnsi="Times New Roman" w:cs="Times New Roman"/>
          <w:b/>
          <w:bCs/>
          <w:color w:val="232222"/>
          <w:sz w:val="24"/>
          <w:szCs w:val="23"/>
        </w:rPr>
        <w:t xml:space="preserve">Action </w:t>
      </w:r>
      <w:r w:rsidR="00EC301B">
        <w:rPr>
          <w:rFonts w:ascii="Times New Roman" w:eastAsia="Times New Roman" w:hAnsi="Times New Roman" w:cs="Times New Roman"/>
          <w:b/>
          <w:bCs/>
          <w:color w:val="232222"/>
          <w:sz w:val="24"/>
          <w:szCs w:val="23"/>
        </w:rPr>
        <w:t>8</w:t>
      </w:r>
      <w:r>
        <w:rPr>
          <w:rFonts w:ascii="Times New Roman" w:eastAsia="Times New Roman" w:hAnsi="Times New Roman" w:cs="Times New Roman"/>
          <w:b/>
          <w:bCs/>
          <w:color w:val="232222"/>
          <w:sz w:val="24"/>
          <w:szCs w:val="23"/>
        </w:rPr>
        <w:t xml:space="preserve">.1 Worksheet </w:t>
      </w:r>
      <w:r w:rsidR="00EC301B">
        <w:rPr>
          <w:rFonts w:ascii="Times New Roman" w:eastAsia="Times New Roman" w:hAnsi="Times New Roman" w:cs="Times New Roman"/>
          <w:b/>
          <w:bCs/>
          <w:color w:val="232222"/>
          <w:sz w:val="24"/>
          <w:szCs w:val="23"/>
        </w:rPr>
        <w:t>3</w:t>
      </w:r>
    </w:p>
    <w:p w14:paraId="4876021D" w14:textId="77777777" w:rsidR="00DC3091" w:rsidRDefault="00DC3091" w:rsidP="001F27CB">
      <w:pPr>
        <w:shd w:val="clear" w:color="auto" w:fill="FFFFFF"/>
        <w:spacing w:after="0" w:line="240" w:lineRule="auto"/>
        <w:rPr>
          <w:rFonts w:ascii="Times New Roman" w:eastAsia="Times New Roman" w:hAnsi="Times New Roman" w:cs="Times New Roman"/>
          <w:b/>
          <w:bCs/>
          <w:color w:val="232222"/>
          <w:sz w:val="24"/>
          <w:szCs w:val="23"/>
        </w:rPr>
      </w:pPr>
    </w:p>
    <w:p w14:paraId="723BEC12" w14:textId="47CDDBAA" w:rsidR="006B5341" w:rsidRDefault="00EC301B" w:rsidP="001F27CB">
      <w:pPr>
        <w:shd w:val="clear" w:color="auto" w:fill="FFFFFF"/>
        <w:spacing w:after="0" w:line="240" w:lineRule="auto"/>
        <w:rPr>
          <w:rFonts w:ascii="Times New Roman" w:eastAsia="Times New Roman" w:hAnsi="Times New Roman" w:cs="Times New Roman"/>
          <w:color w:val="232222"/>
          <w:sz w:val="24"/>
          <w:szCs w:val="23"/>
        </w:rPr>
      </w:pPr>
      <w:r>
        <w:rPr>
          <w:rFonts w:ascii="Times New Roman" w:eastAsia="Times New Roman" w:hAnsi="Times New Roman" w:cs="Times New Roman"/>
          <w:b/>
          <w:bCs/>
          <w:color w:val="232222"/>
          <w:sz w:val="24"/>
          <w:szCs w:val="23"/>
        </w:rPr>
        <w:t>Housing Needs Assessment</w:t>
      </w:r>
    </w:p>
    <w:p w14:paraId="7FDC7110" w14:textId="77777777" w:rsidR="001F27CB" w:rsidRDefault="001F27CB" w:rsidP="001F27CB">
      <w:pPr>
        <w:shd w:val="clear" w:color="auto" w:fill="FFFFFF"/>
        <w:spacing w:after="0" w:line="240" w:lineRule="auto"/>
        <w:rPr>
          <w:rFonts w:ascii="Times New Roman" w:eastAsia="Times New Roman" w:hAnsi="Times New Roman" w:cs="Times New Roman"/>
          <w:color w:val="232222"/>
          <w:sz w:val="24"/>
          <w:szCs w:val="23"/>
        </w:rPr>
      </w:pPr>
    </w:p>
    <w:p w14:paraId="46EA5CD6" w14:textId="74094059" w:rsidR="001F27CB" w:rsidRPr="001F27CB" w:rsidRDefault="00EC301B" w:rsidP="001F27CB">
      <w:pPr>
        <w:shd w:val="clear" w:color="auto" w:fill="FFFFFF"/>
        <w:spacing w:after="0" w:line="240" w:lineRule="auto"/>
        <w:rPr>
          <w:rFonts w:ascii="Times New Roman" w:eastAsia="Times New Roman" w:hAnsi="Times New Roman" w:cs="Times New Roman"/>
          <w:color w:val="232222"/>
          <w:sz w:val="24"/>
          <w:szCs w:val="23"/>
        </w:rPr>
      </w:pPr>
      <w:r>
        <w:rPr>
          <w:rFonts w:ascii="Times New Roman" w:eastAsia="Times New Roman" w:hAnsi="Times New Roman" w:cs="Times New Roman"/>
          <w:color w:val="232222"/>
          <w:sz w:val="24"/>
          <w:szCs w:val="23"/>
        </w:rPr>
        <w:t xml:space="preserve">With a process of community engagement and education, conduct a municipal or regional housing needs assessment that includes the elements listed below.  All elements must be completed to receive credit.  </w:t>
      </w:r>
      <w:r w:rsidR="001F27CB">
        <w:rPr>
          <w:rFonts w:ascii="Times New Roman" w:eastAsia="Times New Roman" w:hAnsi="Times New Roman" w:cs="Times New Roman"/>
          <w:color w:val="232222"/>
          <w:sz w:val="24"/>
          <w:szCs w:val="23"/>
        </w:rPr>
        <w:t xml:space="preserve">Please indicate on which page(s) of your plan each </w:t>
      </w:r>
      <w:r>
        <w:rPr>
          <w:rFonts w:ascii="Times New Roman" w:eastAsia="Times New Roman" w:hAnsi="Times New Roman" w:cs="Times New Roman"/>
          <w:color w:val="232222"/>
          <w:sz w:val="24"/>
          <w:szCs w:val="23"/>
        </w:rPr>
        <w:t>item may be found</w:t>
      </w:r>
      <w:r w:rsidR="001F27CB">
        <w:rPr>
          <w:rFonts w:ascii="Times New Roman" w:eastAsia="Times New Roman" w:hAnsi="Times New Roman" w:cs="Times New Roman"/>
          <w:color w:val="232222"/>
          <w:sz w:val="24"/>
          <w:szCs w:val="23"/>
        </w:rPr>
        <w:t>.</w:t>
      </w:r>
    </w:p>
    <w:p w14:paraId="27F8587B" w14:textId="77777777" w:rsidR="001F27CB" w:rsidRDefault="001F27CB"/>
    <w:tbl>
      <w:tblPr>
        <w:tblStyle w:val="TableGrid"/>
        <w:tblW w:w="9715" w:type="dxa"/>
        <w:tblLook w:val="04A0" w:firstRow="1" w:lastRow="0" w:firstColumn="1" w:lastColumn="0" w:noHBand="0" w:noVBand="1"/>
      </w:tblPr>
      <w:tblGrid>
        <w:gridCol w:w="4855"/>
        <w:gridCol w:w="4860"/>
      </w:tblGrid>
      <w:tr w:rsidR="001F27CB" w:rsidRPr="001F27CB" w14:paraId="75D61C04" w14:textId="77777777" w:rsidTr="002C3AF5">
        <w:tc>
          <w:tcPr>
            <w:tcW w:w="4855" w:type="dxa"/>
          </w:tcPr>
          <w:p w14:paraId="7D673F3F" w14:textId="1E3800DE" w:rsidR="001F27CB" w:rsidRPr="001F27CB" w:rsidRDefault="00FC11B5" w:rsidP="00706D2B">
            <w:pPr>
              <w:shd w:val="clear" w:color="auto" w:fill="FFFFFF"/>
              <w:rPr>
                <w:rFonts w:ascii="Times New Roman" w:eastAsia="Times New Roman" w:hAnsi="Times New Roman" w:cs="Times New Roman"/>
                <w:color w:val="232222"/>
                <w:sz w:val="24"/>
                <w:szCs w:val="24"/>
              </w:rPr>
            </w:pPr>
            <w:r>
              <w:rPr>
                <w:rFonts w:ascii="Times New Roman" w:eastAsia="Times New Roman" w:hAnsi="Times New Roman" w:cs="Times New Roman"/>
                <w:color w:val="232222"/>
                <w:sz w:val="24"/>
                <w:szCs w:val="24"/>
              </w:rPr>
              <w:t>Required Elements</w:t>
            </w:r>
            <w:r w:rsidR="001F27CB" w:rsidRPr="001F27CB">
              <w:rPr>
                <w:rFonts w:ascii="Times New Roman" w:eastAsia="Times New Roman" w:hAnsi="Times New Roman" w:cs="Times New Roman"/>
                <w:color w:val="232222"/>
                <w:sz w:val="24"/>
                <w:szCs w:val="24"/>
              </w:rPr>
              <w:t xml:space="preserve"> </w:t>
            </w:r>
          </w:p>
        </w:tc>
        <w:tc>
          <w:tcPr>
            <w:tcW w:w="4860" w:type="dxa"/>
          </w:tcPr>
          <w:p w14:paraId="7CF2488C" w14:textId="2E416485" w:rsidR="001F27CB" w:rsidRPr="001F27CB" w:rsidRDefault="001F27CB" w:rsidP="00FC11B5">
            <w:pPr>
              <w:rPr>
                <w:rFonts w:ascii="Times New Roman" w:hAnsi="Times New Roman" w:cs="Times New Roman"/>
                <w:sz w:val="24"/>
                <w:szCs w:val="24"/>
              </w:rPr>
            </w:pPr>
            <w:r>
              <w:rPr>
                <w:rFonts w:ascii="Times New Roman" w:hAnsi="Times New Roman" w:cs="Times New Roman"/>
                <w:sz w:val="24"/>
                <w:szCs w:val="24"/>
              </w:rPr>
              <w:t xml:space="preserve">Page(s) in </w:t>
            </w:r>
            <w:r w:rsidR="00FC11B5">
              <w:rPr>
                <w:rFonts w:ascii="Times New Roman" w:hAnsi="Times New Roman" w:cs="Times New Roman"/>
                <w:sz w:val="24"/>
                <w:szCs w:val="24"/>
              </w:rPr>
              <w:t>Housing Needs Assessment</w:t>
            </w:r>
            <w:r>
              <w:rPr>
                <w:rFonts w:ascii="Times New Roman" w:hAnsi="Times New Roman" w:cs="Times New Roman"/>
                <w:sz w:val="24"/>
                <w:szCs w:val="24"/>
              </w:rPr>
              <w:t xml:space="preserve"> Where Referenced</w:t>
            </w:r>
          </w:p>
        </w:tc>
      </w:tr>
      <w:tr w:rsidR="001F27CB" w:rsidRPr="001F27CB" w14:paraId="68C6042A" w14:textId="77777777" w:rsidTr="002C3AF5">
        <w:tc>
          <w:tcPr>
            <w:tcW w:w="4855" w:type="dxa"/>
          </w:tcPr>
          <w:p w14:paraId="6DF0E2A8" w14:textId="357A108C" w:rsidR="001F27CB" w:rsidRPr="001F27CB" w:rsidRDefault="00904275">
            <w:pPr>
              <w:rPr>
                <w:rFonts w:ascii="Times New Roman" w:hAnsi="Times New Roman" w:cs="Times New Roman"/>
                <w:sz w:val="24"/>
                <w:szCs w:val="24"/>
              </w:rPr>
            </w:pPr>
            <w:r w:rsidRPr="00A12A92">
              <w:rPr>
                <w:rFonts w:ascii="Arial" w:eastAsia="Times New Roman" w:hAnsi="Arial" w:cs="Arial"/>
                <w:i/>
                <w:iCs/>
                <w:color w:val="232222"/>
                <w:sz w:val="23"/>
                <w:szCs w:val="23"/>
              </w:rPr>
              <w:t>Scope</w:t>
            </w:r>
            <w:r w:rsidRPr="00A12A92">
              <w:rPr>
                <w:rFonts w:ascii="Arial" w:eastAsia="Times New Roman" w:hAnsi="Arial" w:cs="Arial"/>
                <w:color w:val="232222"/>
                <w:sz w:val="23"/>
                <w:szCs w:val="23"/>
              </w:rPr>
              <w:t>. Identify areas to study (municipal-wide, neighborhood-level, or regional).</w:t>
            </w:r>
          </w:p>
        </w:tc>
        <w:tc>
          <w:tcPr>
            <w:tcW w:w="4860" w:type="dxa"/>
          </w:tcPr>
          <w:p w14:paraId="4D34419D" w14:textId="1A2C84C2" w:rsidR="001F27CB" w:rsidRPr="00B05F88" w:rsidRDefault="00B05F88" w:rsidP="00B05F88">
            <w:pPr>
              <w:rPr>
                <w:rFonts w:ascii="Times New Roman" w:hAnsi="Times New Roman" w:cs="Times New Roman"/>
                <w:b/>
                <w:sz w:val="24"/>
                <w:szCs w:val="24"/>
              </w:rPr>
            </w:pPr>
            <w:r w:rsidRPr="00B05F88">
              <w:rPr>
                <w:rFonts w:ascii="Times New Roman" w:hAnsi="Times New Roman" w:cs="Times New Roman"/>
                <w:b/>
                <w:sz w:val="24"/>
                <w:szCs w:val="24"/>
              </w:rPr>
              <w:t>See Booklet 1 that is enclosed, page 1.</w:t>
            </w:r>
          </w:p>
        </w:tc>
      </w:tr>
      <w:tr w:rsidR="001F27CB" w:rsidRPr="001F27CB" w14:paraId="2BE45D92" w14:textId="77777777" w:rsidTr="002C3AF5">
        <w:tc>
          <w:tcPr>
            <w:tcW w:w="4855" w:type="dxa"/>
          </w:tcPr>
          <w:p w14:paraId="3EF20091" w14:textId="01564910" w:rsidR="001F27CB" w:rsidRPr="001F27CB" w:rsidRDefault="00904275">
            <w:pPr>
              <w:rPr>
                <w:rFonts w:ascii="Times New Roman" w:hAnsi="Times New Roman" w:cs="Times New Roman"/>
                <w:sz w:val="24"/>
                <w:szCs w:val="24"/>
              </w:rPr>
            </w:pPr>
            <w:r w:rsidRPr="00A12A92">
              <w:rPr>
                <w:rFonts w:ascii="Arial" w:eastAsia="Times New Roman" w:hAnsi="Arial" w:cs="Arial"/>
                <w:i/>
                <w:iCs/>
                <w:color w:val="232222"/>
                <w:sz w:val="23"/>
                <w:szCs w:val="23"/>
              </w:rPr>
              <w:t>Demographics.</w:t>
            </w:r>
            <w:r w:rsidRPr="00A12A92">
              <w:rPr>
                <w:rFonts w:ascii="Arial" w:eastAsia="Times New Roman" w:hAnsi="Arial" w:cs="Arial"/>
                <w:color w:val="232222"/>
                <w:sz w:val="23"/>
                <w:szCs w:val="23"/>
              </w:rPr>
              <w:t> Evaluate demographics to determine housing needs for the future. In addition to including race, national origin, family status and disability status, this evaluation should identify areas that have racially and ethnically concentrated areas of poverty (R/ECAP).</w:t>
            </w:r>
          </w:p>
        </w:tc>
        <w:tc>
          <w:tcPr>
            <w:tcW w:w="4860" w:type="dxa"/>
          </w:tcPr>
          <w:p w14:paraId="650C8201" w14:textId="45A0B4C6" w:rsidR="001F27CB" w:rsidRPr="00B05F88" w:rsidRDefault="00B05F88">
            <w:pPr>
              <w:rPr>
                <w:rFonts w:ascii="Times New Roman" w:hAnsi="Times New Roman" w:cs="Times New Roman"/>
                <w:b/>
                <w:sz w:val="24"/>
                <w:szCs w:val="24"/>
              </w:rPr>
            </w:pPr>
            <w:r w:rsidRPr="00B05F88">
              <w:rPr>
                <w:rFonts w:ascii="Times New Roman" w:hAnsi="Times New Roman" w:cs="Times New Roman"/>
                <w:b/>
                <w:sz w:val="24"/>
                <w:szCs w:val="24"/>
              </w:rPr>
              <w:t>See Booklet 2 that is enclosed, pages 2-6.</w:t>
            </w:r>
          </w:p>
        </w:tc>
      </w:tr>
      <w:tr w:rsidR="001F27CB" w:rsidRPr="001F27CB" w14:paraId="4222B530" w14:textId="77777777" w:rsidTr="002C3AF5">
        <w:tc>
          <w:tcPr>
            <w:tcW w:w="4855" w:type="dxa"/>
          </w:tcPr>
          <w:p w14:paraId="72E67185" w14:textId="11814C1E" w:rsidR="001F27CB" w:rsidRPr="003D0E91" w:rsidRDefault="00904275" w:rsidP="001F27CB">
            <w:pPr>
              <w:shd w:val="clear" w:color="auto" w:fill="FFFFFF"/>
              <w:rPr>
                <w:rFonts w:ascii="Times New Roman" w:eastAsia="Times New Roman" w:hAnsi="Times New Roman" w:cs="Times New Roman"/>
                <w:color w:val="232222"/>
                <w:sz w:val="24"/>
                <w:szCs w:val="24"/>
              </w:rPr>
            </w:pPr>
            <w:r w:rsidRPr="00A12A92">
              <w:rPr>
                <w:rFonts w:ascii="Arial" w:eastAsia="Times New Roman" w:hAnsi="Arial" w:cs="Arial"/>
                <w:i/>
                <w:iCs/>
                <w:color w:val="232222"/>
                <w:sz w:val="23"/>
                <w:szCs w:val="23"/>
              </w:rPr>
              <w:t>Economics.</w:t>
            </w:r>
            <w:r w:rsidRPr="00A12A92">
              <w:rPr>
                <w:rFonts w:ascii="Arial" w:eastAsia="Times New Roman" w:hAnsi="Arial" w:cs="Arial"/>
                <w:color w:val="232222"/>
                <w:sz w:val="23"/>
                <w:szCs w:val="23"/>
              </w:rPr>
              <w:t> Evaluate economic information, including, but not limited to: jobs per household, projected job growth (or loss), and projected</w:t>
            </w:r>
            <w:r>
              <w:rPr>
                <w:rFonts w:ascii="Arial" w:eastAsia="Times New Roman" w:hAnsi="Arial" w:cs="Arial"/>
                <w:color w:val="232222"/>
                <w:sz w:val="23"/>
                <w:szCs w:val="23"/>
              </w:rPr>
              <w:t xml:space="preserve"> income from jobs in the future</w:t>
            </w:r>
            <w:r w:rsidR="001F27CB" w:rsidRPr="003D0E91">
              <w:rPr>
                <w:rFonts w:ascii="Times New Roman" w:eastAsia="Times New Roman" w:hAnsi="Times New Roman" w:cs="Times New Roman"/>
                <w:color w:val="232222"/>
                <w:sz w:val="24"/>
                <w:szCs w:val="24"/>
              </w:rPr>
              <w:t>.</w:t>
            </w:r>
          </w:p>
          <w:p w14:paraId="0D9DE019" w14:textId="77777777" w:rsidR="001F27CB" w:rsidRPr="001F27CB" w:rsidRDefault="001F27CB">
            <w:pPr>
              <w:rPr>
                <w:rFonts w:ascii="Times New Roman" w:hAnsi="Times New Roman" w:cs="Times New Roman"/>
                <w:sz w:val="24"/>
                <w:szCs w:val="24"/>
              </w:rPr>
            </w:pPr>
          </w:p>
        </w:tc>
        <w:tc>
          <w:tcPr>
            <w:tcW w:w="4860" w:type="dxa"/>
          </w:tcPr>
          <w:p w14:paraId="3EC6F732" w14:textId="77777777" w:rsidR="00B05F88" w:rsidRDefault="00B05F88" w:rsidP="00B05F88">
            <w:pPr>
              <w:rPr>
                <w:rFonts w:ascii="Times New Roman" w:hAnsi="Times New Roman" w:cs="Times New Roman"/>
                <w:b/>
                <w:sz w:val="24"/>
                <w:szCs w:val="24"/>
              </w:rPr>
            </w:pPr>
            <w:r w:rsidRPr="00B05F88">
              <w:rPr>
                <w:rFonts w:ascii="Times New Roman" w:hAnsi="Times New Roman" w:cs="Times New Roman"/>
                <w:b/>
                <w:sz w:val="24"/>
                <w:szCs w:val="24"/>
              </w:rPr>
              <w:t>See Boo</w:t>
            </w:r>
            <w:r>
              <w:rPr>
                <w:rFonts w:ascii="Times New Roman" w:hAnsi="Times New Roman" w:cs="Times New Roman"/>
                <w:b/>
                <w:sz w:val="24"/>
                <w:szCs w:val="24"/>
              </w:rPr>
              <w:t>klet 2 that is enclosed, page 4.</w:t>
            </w:r>
          </w:p>
          <w:p w14:paraId="6EB1F7EB" w14:textId="77777777" w:rsidR="00B05F88" w:rsidRDefault="00B05F88" w:rsidP="00B05F88">
            <w:pPr>
              <w:rPr>
                <w:rFonts w:ascii="Times New Roman" w:hAnsi="Times New Roman" w:cs="Times New Roman"/>
                <w:b/>
                <w:sz w:val="24"/>
                <w:szCs w:val="24"/>
              </w:rPr>
            </w:pPr>
          </w:p>
          <w:p w14:paraId="7CAADE65" w14:textId="7206171F" w:rsidR="001F27CB" w:rsidRPr="00B05F88" w:rsidRDefault="00B05F88" w:rsidP="00B05F88">
            <w:pPr>
              <w:rPr>
                <w:rFonts w:ascii="Times New Roman" w:hAnsi="Times New Roman" w:cs="Times New Roman"/>
                <w:b/>
                <w:sz w:val="24"/>
                <w:szCs w:val="24"/>
              </w:rPr>
            </w:pPr>
            <w:r>
              <w:rPr>
                <w:rFonts w:ascii="Times New Roman" w:hAnsi="Times New Roman" w:cs="Times New Roman"/>
                <w:b/>
                <w:sz w:val="24"/>
                <w:szCs w:val="24"/>
              </w:rPr>
              <w:t xml:space="preserve">See </w:t>
            </w:r>
            <w:r w:rsidRPr="00B05F88">
              <w:rPr>
                <w:rFonts w:ascii="Times New Roman" w:hAnsi="Times New Roman" w:cs="Times New Roman"/>
                <w:b/>
                <w:sz w:val="24"/>
                <w:szCs w:val="24"/>
              </w:rPr>
              <w:t>Fairfield County Community Index 2019 pages 26- 29, page 34</w:t>
            </w:r>
            <w:r>
              <w:rPr>
                <w:rFonts w:ascii="Times New Roman" w:hAnsi="Times New Roman" w:cs="Times New Roman"/>
                <w:b/>
                <w:sz w:val="24"/>
                <w:szCs w:val="24"/>
              </w:rPr>
              <w:t>,</w:t>
            </w:r>
            <w:r w:rsidRPr="00B05F88">
              <w:rPr>
                <w:rFonts w:ascii="Times New Roman" w:hAnsi="Times New Roman" w:cs="Times New Roman"/>
                <w:b/>
                <w:sz w:val="24"/>
                <w:szCs w:val="24"/>
              </w:rPr>
              <w:t xml:space="preserve"> pages 41-45</w:t>
            </w:r>
            <w:r>
              <w:rPr>
                <w:rFonts w:ascii="Times New Roman" w:hAnsi="Times New Roman" w:cs="Times New Roman"/>
                <w:b/>
                <w:sz w:val="24"/>
                <w:szCs w:val="24"/>
              </w:rPr>
              <w:t>, and pages 49-53</w:t>
            </w:r>
            <w:r w:rsidRPr="00B05F88">
              <w:rPr>
                <w:rFonts w:ascii="Times New Roman" w:hAnsi="Times New Roman" w:cs="Times New Roman"/>
                <w:b/>
                <w:sz w:val="24"/>
                <w:szCs w:val="24"/>
              </w:rPr>
              <w:t xml:space="preserve">. </w:t>
            </w:r>
          </w:p>
        </w:tc>
      </w:tr>
      <w:tr w:rsidR="001F27CB" w:rsidRPr="001F27CB" w14:paraId="5571329C" w14:textId="77777777" w:rsidTr="002C3AF5">
        <w:tc>
          <w:tcPr>
            <w:tcW w:w="4855" w:type="dxa"/>
          </w:tcPr>
          <w:p w14:paraId="02F9906F" w14:textId="4469CC4A" w:rsidR="00113F38" w:rsidRPr="00113F38" w:rsidRDefault="00904275" w:rsidP="00113F38">
            <w:pPr>
              <w:pStyle w:val="NoSpacing"/>
              <w:rPr>
                <w:rFonts w:ascii="Times New Roman" w:hAnsi="Times New Roman" w:cs="Times New Roman"/>
              </w:rPr>
            </w:pPr>
            <w:r w:rsidRPr="00A12A92">
              <w:rPr>
                <w:rFonts w:ascii="Arial" w:eastAsia="Times New Roman" w:hAnsi="Arial" w:cs="Arial"/>
                <w:i/>
                <w:iCs/>
                <w:color w:val="232222"/>
                <w:sz w:val="23"/>
                <w:szCs w:val="23"/>
              </w:rPr>
              <w:t>Community Services.</w:t>
            </w:r>
            <w:r w:rsidRPr="00A12A92">
              <w:rPr>
                <w:rFonts w:ascii="Arial" w:eastAsia="Times New Roman" w:hAnsi="Arial" w:cs="Arial"/>
                <w:color w:val="232222"/>
                <w:sz w:val="23"/>
                <w:szCs w:val="23"/>
              </w:rPr>
              <w:t> Evaluate community services, which includes access to public transit, access to child care, access to health care, and other areas of inquiry.</w:t>
            </w:r>
          </w:p>
        </w:tc>
        <w:tc>
          <w:tcPr>
            <w:tcW w:w="4860" w:type="dxa"/>
          </w:tcPr>
          <w:p w14:paraId="3B26AABF" w14:textId="44D11A56" w:rsidR="001F27CB" w:rsidRPr="001F27CB" w:rsidRDefault="00B05F88" w:rsidP="00B05F88">
            <w:pPr>
              <w:rPr>
                <w:rFonts w:ascii="Times New Roman" w:hAnsi="Times New Roman" w:cs="Times New Roman"/>
                <w:sz w:val="24"/>
                <w:szCs w:val="24"/>
              </w:rPr>
            </w:pPr>
            <w:r>
              <w:rPr>
                <w:rFonts w:ascii="Times New Roman" w:hAnsi="Times New Roman" w:cs="Times New Roman"/>
                <w:b/>
                <w:sz w:val="24"/>
                <w:szCs w:val="24"/>
              </w:rPr>
              <w:t xml:space="preserve">See </w:t>
            </w:r>
            <w:r w:rsidRPr="00B05F88">
              <w:rPr>
                <w:rFonts w:ascii="Times New Roman" w:hAnsi="Times New Roman" w:cs="Times New Roman"/>
                <w:b/>
                <w:sz w:val="24"/>
                <w:szCs w:val="24"/>
              </w:rPr>
              <w:t xml:space="preserve">Fairfield County Community Index 2019 </w:t>
            </w:r>
            <w:r>
              <w:rPr>
                <w:rFonts w:ascii="Times New Roman" w:hAnsi="Times New Roman" w:cs="Times New Roman"/>
                <w:b/>
                <w:sz w:val="24"/>
                <w:szCs w:val="24"/>
              </w:rPr>
              <w:t>page 51.</w:t>
            </w:r>
          </w:p>
        </w:tc>
      </w:tr>
      <w:tr w:rsidR="001F27CB" w:rsidRPr="001F27CB" w14:paraId="5F204DBC" w14:textId="77777777" w:rsidTr="002C3AF5">
        <w:tc>
          <w:tcPr>
            <w:tcW w:w="4855" w:type="dxa"/>
          </w:tcPr>
          <w:p w14:paraId="508CC648" w14:textId="675A203E" w:rsidR="001F27CB" w:rsidRPr="001F27CB" w:rsidRDefault="00904275">
            <w:pPr>
              <w:rPr>
                <w:rFonts w:ascii="Times New Roman" w:hAnsi="Times New Roman" w:cs="Times New Roman"/>
                <w:sz w:val="24"/>
                <w:szCs w:val="24"/>
              </w:rPr>
            </w:pPr>
            <w:r w:rsidRPr="00A12A92">
              <w:rPr>
                <w:rFonts w:ascii="Arial" w:eastAsia="Times New Roman" w:hAnsi="Arial" w:cs="Arial"/>
                <w:i/>
                <w:iCs/>
                <w:color w:val="232222"/>
                <w:sz w:val="23"/>
                <w:szCs w:val="23"/>
              </w:rPr>
              <w:t>Affordability</w:t>
            </w:r>
            <w:r w:rsidRPr="00A12A92">
              <w:rPr>
                <w:rFonts w:ascii="Arial" w:eastAsia="Times New Roman" w:hAnsi="Arial" w:cs="Arial"/>
                <w:color w:val="232222"/>
                <w:sz w:val="23"/>
                <w:szCs w:val="23"/>
              </w:rPr>
              <w:t>. Determine how many income-restricted housing units are currently available and at what income threshold (e.g., 80%, 60%, 50% or 25% the lesser of state or area median income).</w:t>
            </w:r>
          </w:p>
        </w:tc>
        <w:tc>
          <w:tcPr>
            <w:tcW w:w="4860" w:type="dxa"/>
          </w:tcPr>
          <w:p w14:paraId="00BD58C4" w14:textId="6D13F368" w:rsidR="00B05F88" w:rsidRDefault="00B05F88" w:rsidP="00B05F88">
            <w:pPr>
              <w:rPr>
                <w:rFonts w:ascii="Times New Roman" w:hAnsi="Times New Roman" w:cs="Times New Roman"/>
                <w:b/>
                <w:sz w:val="24"/>
                <w:szCs w:val="24"/>
              </w:rPr>
            </w:pPr>
            <w:r w:rsidRPr="00B05F88">
              <w:rPr>
                <w:rFonts w:ascii="Times New Roman" w:hAnsi="Times New Roman" w:cs="Times New Roman"/>
                <w:b/>
                <w:sz w:val="24"/>
                <w:szCs w:val="24"/>
              </w:rPr>
              <w:t>See Boo</w:t>
            </w:r>
            <w:r>
              <w:rPr>
                <w:rFonts w:ascii="Times New Roman" w:hAnsi="Times New Roman" w:cs="Times New Roman"/>
                <w:b/>
                <w:sz w:val="24"/>
                <w:szCs w:val="24"/>
              </w:rPr>
              <w:t xml:space="preserve">klet 2 that is enclosed, </w:t>
            </w:r>
            <w:r>
              <w:rPr>
                <w:rFonts w:ascii="Times New Roman" w:hAnsi="Times New Roman" w:cs="Times New Roman"/>
                <w:b/>
                <w:sz w:val="24"/>
                <w:szCs w:val="24"/>
              </w:rPr>
              <w:t>pages 10-23.</w:t>
            </w:r>
          </w:p>
          <w:p w14:paraId="7B0309C7" w14:textId="77777777" w:rsidR="00B05F88" w:rsidRDefault="00B05F88" w:rsidP="00B05F88">
            <w:pPr>
              <w:rPr>
                <w:rFonts w:ascii="Times New Roman" w:hAnsi="Times New Roman" w:cs="Times New Roman"/>
                <w:b/>
                <w:sz w:val="24"/>
                <w:szCs w:val="24"/>
              </w:rPr>
            </w:pPr>
          </w:p>
          <w:p w14:paraId="439FA8EC" w14:textId="3B6B7F52" w:rsidR="001F27CB" w:rsidRPr="001F27CB" w:rsidRDefault="00B05F88" w:rsidP="00B05F88">
            <w:pPr>
              <w:rPr>
                <w:rFonts w:ascii="Times New Roman" w:hAnsi="Times New Roman" w:cs="Times New Roman"/>
                <w:sz w:val="24"/>
                <w:szCs w:val="24"/>
              </w:rPr>
            </w:pPr>
            <w:r>
              <w:rPr>
                <w:rFonts w:ascii="Times New Roman" w:hAnsi="Times New Roman" w:cs="Times New Roman"/>
                <w:b/>
                <w:sz w:val="24"/>
                <w:szCs w:val="24"/>
              </w:rPr>
              <w:t xml:space="preserve">See </w:t>
            </w:r>
            <w:r w:rsidRPr="00B05F88">
              <w:rPr>
                <w:rFonts w:ascii="Times New Roman" w:hAnsi="Times New Roman" w:cs="Times New Roman"/>
                <w:b/>
                <w:sz w:val="24"/>
                <w:szCs w:val="24"/>
              </w:rPr>
              <w:t>Fairfield County Community Index 2019</w:t>
            </w:r>
            <w:r>
              <w:rPr>
                <w:rFonts w:ascii="Times New Roman" w:hAnsi="Times New Roman" w:cs="Times New Roman"/>
                <w:b/>
                <w:sz w:val="24"/>
                <w:szCs w:val="24"/>
              </w:rPr>
              <w:t xml:space="preserve"> pages 46 and 48.</w:t>
            </w:r>
          </w:p>
        </w:tc>
      </w:tr>
      <w:tr w:rsidR="001F27CB" w:rsidRPr="001F27CB" w14:paraId="2BE11B31" w14:textId="77777777" w:rsidTr="00B05F88">
        <w:trPr>
          <w:trHeight w:val="1826"/>
        </w:trPr>
        <w:tc>
          <w:tcPr>
            <w:tcW w:w="4855" w:type="dxa"/>
          </w:tcPr>
          <w:p w14:paraId="0CBF2BA1" w14:textId="426C8368" w:rsidR="001F27CB" w:rsidRPr="001F27CB" w:rsidRDefault="00904275">
            <w:pPr>
              <w:rPr>
                <w:rFonts w:ascii="Times New Roman" w:hAnsi="Times New Roman" w:cs="Times New Roman"/>
                <w:sz w:val="24"/>
                <w:szCs w:val="24"/>
              </w:rPr>
            </w:pPr>
            <w:r w:rsidRPr="00A12A92">
              <w:rPr>
                <w:rFonts w:ascii="Arial" w:eastAsia="Times New Roman" w:hAnsi="Arial" w:cs="Arial"/>
                <w:i/>
                <w:iCs/>
                <w:color w:val="232222"/>
                <w:sz w:val="23"/>
                <w:szCs w:val="23"/>
              </w:rPr>
              <w:t>Housing Gap Analysis.</w:t>
            </w:r>
            <w:r w:rsidRPr="00A12A92">
              <w:rPr>
                <w:rFonts w:ascii="Arial" w:eastAsia="Times New Roman" w:hAnsi="Arial" w:cs="Arial"/>
                <w:color w:val="232222"/>
                <w:sz w:val="23"/>
                <w:szCs w:val="23"/>
              </w:rPr>
              <w:t> Conduct a housing gap analysis, based on existing housing stock and demand estimates. The analysis should also include the number of shelter beds and the extent of supportive housing, if any.</w:t>
            </w:r>
          </w:p>
        </w:tc>
        <w:tc>
          <w:tcPr>
            <w:tcW w:w="4860" w:type="dxa"/>
          </w:tcPr>
          <w:p w14:paraId="6DE9F3F9" w14:textId="678266BF" w:rsidR="00B05F88" w:rsidRDefault="00B05F88" w:rsidP="00B05F88">
            <w:pPr>
              <w:rPr>
                <w:rFonts w:ascii="Times New Roman" w:hAnsi="Times New Roman" w:cs="Times New Roman"/>
                <w:b/>
                <w:sz w:val="24"/>
                <w:szCs w:val="24"/>
              </w:rPr>
            </w:pPr>
            <w:r w:rsidRPr="00B05F88">
              <w:rPr>
                <w:rFonts w:ascii="Times New Roman" w:hAnsi="Times New Roman" w:cs="Times New Roman"/>
                <w:b/>
                <w:sz w:val="24"/>
                <w:szCs w:val="24"/>
              </w:rPr>
              <w:t>See Boo</w:t>
            </w:r>
            <w:r>
              <w:rPr>
                <w:rFonts w:ascii="Times New Roman" w:hAnsi="Times New Roman" w:cs="Times New Roman"/>
                <w:b/>
                <w:sz w:val="24"/>
                <w:szCs w:val="24"/>
              </w:rPr>
              <w:t xml:space="preserve">klet 2 that is enclosed, </w:t>
            </w:r>
            <w:r>
              <w:rPr>
                <w:rFonts w:ascii="Times New Roman" w:hAnsi="Times New Roman" w:cs="Times New Roman"/>
                <w:b/>
                <w:sz w:val="24"/>
                <w:szCs w:val="24"/>
              </w:rPr>
              <w:t>pages 18-20 and page 23.</w:t>
            </w:r>
          </w:p>
          <w:p w14:paraId="31C13232" w14:textId="77777777" w:rsidR="00B05F88" w:rsidRDefault="00B05F88" w:rsidP="00B05F88">
            <w:pPr>
              <w:rPr>
                <w:rFonts w:ascii="Times New Roman" w:hAnsi="Times New Roman" w:cs="Times New Roman"/>
                <w:b/>
                <w:sz w:val="24"/>
                <w:szCs w:val="24"/>
              </w:rPr>
            </w:pPr>
          </w:p>
          <w:p w14:paraId="7332DF0A" w14:textId="77777777" w:rsidR="00B05F88" w:rsidRDefault="00B05F88" w:rsidP="00B05F88">
            <w:pPr>
              <w:rPr>
                <w:rFonts w:ascii="Times New Roman" w:hAnsi="Times New Roman" w:cs="Times New Roman"/>
                <w:b/>
                <w:sz w:val="24"/>
                <w:szCs w:val="24"/>
              </w:rPr>
            </w:pPr>
          </w:p>
          <w:p w14:paraId="1CF987F2" w14:textId="5BAF67ED" w:rsidR="001F27CB" w:rsidRPr="001F27CB" w:rsidRDefault="00B05F88" w:rsidP="00B05F88">
            <w:pPr>
              <w:rPr>
                <w:rFonts w:ascii="Times New Roman" w:hAnsi="Times New Roman" w:cs="Times New Roman"/>
                <w:sz w:val="24"/>
                <w:szCs w:val="24"/>
              </w:rPr>
            </w:pPr>
            <w:r>
              <w:rPr>
                <w:rFonts w:ascii="Times New Roman" w:hAnsi="Times New Roman" w:cs="Times New Roman"/>
                <w:b/>
                <w:sz w:val="24"/>
                <w:szCs w:val="24"/>
              </w:rPr>
              <w:t xml:space="preserve">See </w:t>
            </w:r>
            <w:r w:rsidRPr="00B05F88">
              <w:rPr>
                <w:rFonts w:ascii="Times New Roman" w:hAnsi="Times New Roman" w:cs="Times New Roman"/>
                <w:b/>
                <w:sz w:val="24"/>
                <w:szCs w:val="24"/>
              </w:rPr>
              <w:t>Fairfield County Community Index 2019</w:t>
            </w:r>
            <w:r>
              <w:rPr>
                <w:rFonts w:ascii="Times New Roman" w:hAnsi="Times New Roman" w:cs="Times New Roman"/>
                <w:b/>
                <w:sz w:val="24"/>
                <w:szCs w:val="24"/>
              </w:rPr>
              <w:t xml:space="preserve"> pages </w:t>
            </w:r>
            <w:r>
              <w:rPr>
                <w:rFonts w:ascii="Times New Roman" w:hAnsi="Times New Roman" w:cs="Times New Roman"/>
                <w:b/>
                <w:sz w:val="24"/>
                <w:szCs w:val="24"/>
              </w:rPr>
              <w:t>47.</w:t>
            </w:r>
          </w:p>
        </w:tc>
      </w:tr>
      <w:tr w:rsidR="001F27CB" w:rsidRPr="001F27CB" w14:paraId="6B73F579" w14:textId="77777777" w:rsidTr="002C3AF5">
        <w:tc>
          <w:tcPr>
            <w:tcW w:w="4855" w:type="dxa"/>
          </w:tcPr>
          <w:p w14:paraId="39EA2B33" w14:textId="6C9E5028" w:rsidR="001F27CB" w:rsidRPr="001F27CB" w:rsidRDefault="00904275">
            <w:pPr>
              <w:rPr>
                <w:rFonts w:ascii="Times New Roman" w:hAnsi="Times New Roman" w:cs="Times New Roman"/>
                <w:sz w:val="24"/>
                <w:szCs w:val="24"/>
              </w:rPr>
            </w:pPr>
            <w:r w:rsidRPr="00A12A92">
              <w:rPr>
                <w:rFonts w:ascii="Arial" w:eastAsia="Times New Roman" w:hAnsi="Arial" w:cs="Arial"/>
                <w:i/>
                <w:iCs/>
                <w:color w:val="232222"/>
                <w:sz w:val="23"/>
                <w:szCs w:val="23"/>
              </w:rPr>
              <w:t>Zoning Analysis.</w:t>
            </w:r>
            <w:r w:rsidRPr="00A12A92">
              <w:rPr>
                <w:rFonts w:ascii="Arial" w:eastAsia="Times New Roman" w:hAnsi="Arial" w:cs="Arial"/>
                <w:color w:val="232222"/>
                <w:sz w:val="23"/>
                <w:szCs w:val="23"/>
              </w:rPr>
              <w:t xml:space="preserve"> Conduct a zoning analysis of single-family, two-family, multi-family, affordable, and elderly housing zones. Include information about how to request a reasonable accommodation to zoning rules for older adults or people with disabilities, rules regarding group housing, housing of </w:t>
            </w:r>
            <w:r w:rsidRPr="00A12A92">
              <w:rPr>
                <w:rFonts w:ascii="Arial" w:eastAsia="Times New Roman" w:hAnsi="Arial" w:cs="Arial"/>
                <w:color w:val="232222"/>
                <w:sz w:val="23"/>
                <w:szCs w:val="23"/>
              </w:rPr>
              <w:lastRenderedPageBreak/>
              <w:t>unrelated persons, and rules for temporary health care and similar structures.</w:t>
            </w:r>
          </w:p>
        </w:tc>
        <w:tc>
          <w:tcPr>
            <w:tcW w:w="4860" w:type="dxa"/>
          </w:tcPr>
          <w:p w14:paraId="4AD453CE" w14:textId="00A343AF" w:rsidR="00B05F88" w:rsidRDefault="00B05F88" w:rsidP="00B05F88">
            <w:pPr>
              <w:rPr>
                <w:rFonts w:ascii="Times New Roman" w:hAnsi="Times New Roman" w:cs="Times New Roman"/>
                <w:b/>
                <w:sz w:val="24"/>
                <w:szCs w:val="24"/>
              </w:rPr>
            </w:pPr>
            <w:r w:rsidRPr="00B05F88">
              <w:rPr>
                <w:rFonts w:ascii="Times New Roman" w:hAnsi="Times New Roman" w:cs="Times New Roman"/>
                <w:b/>
                <w:sz w:val="24"/>
                <w:szCs w:val="24"/>
              </w:rPr>
              <w:lastRenderedPageBreak/>
              <w:t>See Boo</w:t>
            </w:r>
            <w:r>
              <w:rPr>
                <w:rFonts w:ascii="Times New Roman" w:hAnsi="Times New Roman" w:cs="Times New Roman"/>
                <w:b/>
                <w:sz w:val="24"/>
                <w:szCs w:val="24"/>
              </w:rPr>
              <w:t xml:space="preserve">klet 2 that is enclosed, pages </w:t>
            </w:r>
            <w:r>
              <w:rPr>
                <w:rFonts w:ascii="Times New Roman" w:hAnsi="Times New Roman" w:cs="Times New Roman"/>
                <w:b/>
                <w:sz w:val="24"/>
                <w:szCs w:val="24"/>
              </w:rPr>
              <w:t>27-29.</w:t>
            </w:r>
          </w:p>
          <w:p w14:paraId="67881AAB" w14:textId="77777777" w:rsidR="001F27CB" w:rsidRPr="001F27CB" w:rsidRDefault="001F27CB">
            <w:pPr>
              <w:rPr>
                <w:rFonts w:ascii="Times New Roman" w:hAnsi="Times New Roman" w:cs="Times New Roman"/>
                <w:sz w:val="24"/>
                <w:szCs w:val="24"/>
              </w:rPr>
            </w:pPr>
          </w:p>
        </w:tc>
      </w:tr>
      <w:tr w:rsidR="00113F38" w:rsidRPr="001F27CB" w14:paraId="3FB92E4A" w14:textId="77777777" w:rsidTr="002C3AF5">
        <w:tc>
          <w:tcPr>
            <w:tcW w:w="4855" w:type="dxa"/>
          </w:tcPr>
          <w:p w14:paraId="45584183" w14:textId="52F3A7F8" w:rsidR="00904275" w:rsidRDefault="00904275" w:rsidP="001F27CB">
            <w:pPr>
              <w:shd w:val="clear" w:color="auto" w:fill="FFFFFF"/>
              <w:rPr>
                <w:rFonts w:ascii="Arial" w:eastAsia="Times New Roman" w:hAnsi="Arial" w:cs="Arial"/>
                <w:color w:val="232222"/>
                <w:sz w:val="23"/>
                <w:szCs w:val="23"/>
              </w:rPr>
            </w:pPr>
            <w:r w:rsidRPr="00A12A92">
              <w:rPr>
                <w:rFonts w:ascii="Arial" w:eastAsia="Times New Roman" w:hAnsi="Arial" w:cs="Arial"/>
                <w:i/>
                <w:iCs/>
                <w:color w:val="232222"/>
                <w:sz w:val="23"/>
                <w:szCs w:val="23"/>
              </w:rPr>
              <w:lastRenderedPageBreak/>
              <w:t>Strategies</w:t>
            </w:r>
            <w:r w:rsidRPr="00A12A92">
              <w:rPr>
                <w:rFonts w:ascii="Arial" w:eastAsia="Times New Roman" w:hAnsi="Arial" w:cs="Arial"/>
                <w:color w:val="232222"/>
                <w:sz w:val="23"/>
                <w:szCs w:val="23"/>
              </w:rPr>
              <w:t>. Plan strategies to diversify housing stock to meet the needs. For example: increase the number of zones for various types of housing, ensure a legal procedure exists to request reasonable accommodation, or change any illegal rules for group housing.</w:t>
            </w:r>
          </w:p>
          <w:p w14:paraId="65D60CF6" w14:textId="77777777" w:rsidR="00904275" w:rsidRPr="00A12A92" w:rsidRDefault="00904275" w:rsidP="00904275">
            <w:pPr>
              <w:shd w:val="clear" w:color="auto" w:fill="FFFFFF"/>
              <w:spacing w:before="300"/>
              <w:ind w:left="720"/>
              <w:rPr>
                <w:rFonts w:ascii="Arial" w:eastAsia="Times New Roman" w:hAnsi="Arial" w:cs="Arial"/>
                <w:color w:val="232222"/>
                <w:sz w:val="23"/>
                <w:szCs w:val="23"/>
              </w:rPr>
            </w:pPr>
            <w:r w:rsidRPr="00A12A92">
              <w:rPr>
                <w:rFonts w:ascii="Arial" w:eastAsia="Times New Roman" w:hAnsi="Arial" w:cs="Arial"/>
                <w:i/>
                <w:iCs/>
                <w:color w:val="232222"/>
                <w:sz w:val="23"/>
                <w:szCs w:val="23"/>
              </w:rPr>
              <w:t>Note:</w:t>
            </w:r>
            <w:r w:rsidRPr="00A12A92">
              <w:rPr>
                <w:rFonts w:ascii="Arial" w:eastAsia="Times New Roman" w:hAnsi="Arial" w:cs="Arial"/>
                <w:color w:val="232222"/>
                <w:sz w:val="23"/>
                <w:szCs w:val="23"/>
              </w:rPr>
              <w:t> Pursuant to Section 2 of Public Act 17-170, every five years, each municipality is required to prepare, amend or adopt a detailed plan to increase the number of affordable developments in the municipality. This section of the housing needs assessment and plan should directly</w:t>
            </w:r>
            <w:r>
              <w:rPr>
                <w:rFonts w:ascii="Arial" w:eastAsia="Times New Roman" w:hAnsi="Arial" w:cs="Arial"/>
                <w:color w:val="232222"/>
                <w:sz w:val="23"/>
                <w:szCs w:val="23"/>
              </w:rPr>
              <w:t>,</w:t>
            </w:r>
            <w:r w:rsidRPr="00A12A92">
              <w:rPr>
                <w:rFonts w:ascii="Arial" w:eastAsia="Times New Roman" w:hAnsi="Arial" w:cs="Arial"/>
                <w:color w:val="232222"/>
                <w:sz w:val="23"/>
                <w:szCs w:val="23"/>
              </w:rPr>
              <w:t xml:space="preserve"> or by reference, incorporate the required affordable housing plan.</w:t>
            </w:r>
          </w:p>
          <w:p w14:paraId="5885F736" w14:textId="69A04A88" w:rsidR="00904275" w:rsidRPr="001F27CB" w:rsidRDefault="00904275" w:rsidP="001F27CB">
            <w:pPr>
              <w:shd w:val="clear" w:color="auto" w:fill="FFFFFF"/>
              <w:rPr>
                <w:rFonts w:ascii="Times New Roman" w:eastAsia="Times New Roman" w:hAnsi="Times New Roman" w:cs="Times New Roman"/>
                <w:color w:val="232222"/>
                <w:sz w:val="24"/>
                <w:szCs w:val="24"/>
              </w:rPr>
            </w:pPr>
          </w:p>
        </w:tc>
        <w:tc>
          <w:tcPr>
            <w:tcW w:w="4860" w:type="dxa"/>
          </w:tcPr>
          <w:p w14:paraId="44BF9BA1" w14:textId="4C65E4E6" w:rsidR="00B05F88" w:rsidRDefault="00B05F88" w:rsidP="00B05F88">
            <w:pPr>
              <w:rPr>
                <w:rFonts w:ascii="Times New Roman" w:hAnsi="Times New Roman" w:cs="Times New Roman"/>
                <w:b/>
                <w:sz w:val="24"/>
                <w:szCs w:val="24"/>
              </w:rPr>
            </w:pPr>
            <w:r w:rsidRPr="00B05F88">
              <w:rPr>
                <w:rFonts w:ascii="Times New Roman" w:hAnsi="Times New Roman" w:cs="Times New Roman"/>
                <w:b/>
                <w:sz w:val="24"/>
                <w:szCs w:val="24"/>
              </w:rPr>
              <w:t>See Boo</w:t>
            </w:r>
            <w:r>
              <w:rPr>
                <w:rFonts w:ascii="Times New Roman" w:hAnsi="Times New Roman" w:cs="Times New Roman"/>
                <w:b/>
                <w:sz w:val="24"/>
                <w:szCs w:val="24"/>
              </w:rPr>
              <w:t xml:space="preserve">klet 2 that is enclosed, pages </w:t>
            </w:r>
            <w:r>
              <w:rPr>
                <w:rFonts w:ascii="Times New Roman" w:hAnsi="Times New Roman" w:cs="Times New Roman"/>
                <w:b/>
                <w:sz w:val="24"/>
                <w:szCs w:val="24"/>
              </w:rPr>
              <w:t>30 and 31.</w:t>
            </w:r>
          </w:p>
          <w:p w14:paraId="2669B107" w14:textId="77777777" w:rsidR="00113F38" w:rsidRPr="001F27CB" w:rsidRDefault="00113F38">
            <w:pPr>
              <w:rPr>
                <w:rFonts w:ascii="Times New Roman" w:hAnsi="Times New Roman" w:cs="Times New Roman"/>
                <w:sz w:val="24"/>
                <w:szCs w:val="24"/>
              </w:rPr>
            </w:pPr>
          </w:p>
        </w:tc>
      </w:tr>
      <w:tr w:rsidR="00904275" w:rsidRPr="001F27CB" w14:paraId="619ACFA0" w14:textId="77777777" w:rsidTr="00397DE7">
        <w:tc>
          <w:tcPr>
            <w:tcW w:w="4855" w:type="dxa"/>
          </w:tcPr>
          <w:p w14:paraId="29662B92" w14:textId="77777777" w:rsidR="00904275" w:rsidRDefault="00904275" w:rsidP="00904275">
            <w:pPr>
              <w:shd w:val="clear" w:color="auto" w:fill="FFFFFF"/>
              <w:spacing w:before="300"/>
              <w:rPr>
                <w:rFonts w:ascii="Arial" w:eastAsia="Times New Roman" w:hAnsi="Arial" w:cs="Arial"/>
                <w:color w:val="232222"/>
                <w:sz w:val="23"/>
                <w:szCs w:val="23"/>
              </w:rPr>
            </w:pPr>
            <w:r w:rsidRPr="00A12A92">
              <w:rPr>
                <w:rFonts w:ascii="Arial" w:eastAsia="Times New Roman" w:hAnsi="Arial" w:cs="Arial"/>
                <w:i/>
                <w:iCs/>
                <w:color w:val="232222"/>
                <w:sz w:val="23"/>
                <w:szCs w:val="23"/>
              </w:rPr>
              <w:t>Retrospective Analysis</w:t>
            </w:r>
            <w:r w:rsidRPr="00A12A92">
              <w:rPr>
                <w:rFonts w:ascii="Arial" w:eastAsia="Times New Roman" w:hAnsi="Arial" w:cs="Arial"/>
                <w:color w:val="232222"/>
                <w:sz w:val="23"/>
                <w:szCs w:val="23"/>
              </w:rPr>
              <w:t>. Analyze past applications for new construction and/or rehabilitation permits that would have expanded housing stock, diversified housing stock, and/or change neighborhood composition. This also includes information about the success or failure of such applications, the reasons for the success or failure, any changes that were made to zoning or planning documents as the result of such application, and recommendations for future applicants.</w:t>
            </w:r>
          </w:p>
          <w:p w14:paraId="6A48872D" w14:textId="62A965D8" w:rsidR="00904275" w:rsidRPr="00A12A92" w:rsidRDefault="00904275" w:rsidP="00904275">
            <w:pPr>
              <w:shd w:val="clear" w:color="auto" w:fill="FFFFFF"/>
              <w:spacing w:before="300"/>
              <w:ind w:left="720"/>
              <w:rPr>
                <w:rFonts w:ascii="Arial" w:eastAsia="Times New Roman" w:hAnsi="Arial" w:cs="Arial"/>
                <w:color w:val="232222"/>
                <w:sz w:val="23"/>
                <w:szCs w:val="23"/>
              </w:rPr>
            </w:pPr>
            <w:r w:rsidRPr="00A12A92">
              <w:rPr>
                <w:rFonts w:ascii="Arial" w:eastAsia="Times New Roman" w:hAnsi="Arial" w:cs="Arial"/>
                <w:i/>
                <w:iCs/>
                <w:color w:val="232222"/>
                <w:sz w:val="23"/>
                <w:szCs w:val="23"/>
              </w:rPr>
              <w:t>Note:</w:t>
            </w:r>
            <w:r w:rsidRPr="00A12A92">
              <w:rPr>
                <w:rFonts w:ascii="Arial" w:eastAsia="Times New Roman" w:hAnsi="Arial" w:cs="Arial"/>
                <w:color w:val="232222"/>
                <w:sz w:val="23"/>
                <w:szCs w:val="23"/>
              </w:rPr>
              <w:t> If your city or town is one of the “entitlement communities” receiving Community Development Block Grant funding directly, you’ll find this analysis similar to the U.S. Department of Housing and Urban Development's (HUD’s) Assessment of Fair Housing required by regulation 24 CFR §5.154. Data provided by HUD can be used to complete the analysis for this action step.</w:t>
            </w:r>
          </w:p>
          <w:p w14:paraId="7B76B0E5" w14:textId="77777777" w:rsidR="00904275" w:rsidRPr="001F27CB" w:rsidRDefault="00904275" w:rsidP="00397DE7">
            <w:pPr>
              <w:shd w:val="clear" w:color="auto" w:fill="FFFFFF"/>
              <w:rPr>
                <w:rFonts w:ascii="Times New Roman" w:eastAsia="Times New Roman" w:hAnsi="Times New Roman" w:cs="Times New Roman"/>
                <w:color w:val="232222"/>
                <w:sz w:val="24"/>
                <w:szCs w:val="24"/>
              </w:rPr>
            </w:pPr>
          </w:p>
        </w:tc>
        <w:tc>
          <w:tcPr>
            <w:tcW w:w="4860" w:type="dxa"/>
          </w:tcPr>
          <w:p w14:paraId="136D4272" w14:textId="1507BC6A" w:rsidR="00904275" w:rsidRPr="007B347E" w:rsidRDefault="007B347E" w:rsidP="00397DE7">
            <w:pPr>
              <w:rPr>
                <w:rFonts w:ascii="Times New Roman" w:hAnsi="Times New Roman" w:cs="Times New Roman"/>
                <w:b/>
                <w:sz w:val="24"/>
                <w:szCs w:val="24"/>
              </w:rPr>
            </w:pPr>
            <w:r>
              <w:rPr>
                <w:rFonts w:ascii="Times New Roman" w:hAnsi="Times New Roman" w:cs="Times New Roman"/>
                <w:b/>
                <w:sz w:val="24"/>
                <w:szCs w:val="24"/>
              </w:rPr>
              <w:t xml:space="preserve">Stratford is an entitlement community. </w:t>
            </w:r>
            <w:r w:rsidRPr="007B347E">
              <w:rPr>
                <w:rFonts w:ascii="Times New Roman" w:hAnsi="Times New Roman" w:cs="Times New Roman"/>
                <w:b/>
                <w:sz w:val="24"/>
                <w:szCs w:val="24"/>
              </w:rPr>
              <w:t xml:space="preserve">See Impediments to Fair Housing Report </w:t>
            </w:r>
            <w:r>
              <w:rPr>
                <w:rFonts w:ascii="Times New Roman" w:hAnsi="Times New Roman" w:cs="Times New Roman"/>
                <w:b/>
                <w:sz w:val="24"/>
                <w:szCs w:val="24"/>
              </w:rPr>
              <w:t xml:space="preserve"> 2012-2022 </w:t>
            </w:r>
            <w:r w:rsidRPr="007B347E">
              <w:rPr>
                <w:rFonts w:ascii="Times New Roman" w:hAnsi="Times New Roman" w:cs="Times New Roman"/>
                <w:b/>
                <w:sz w:val="24"/>
                <w:szCs w:val="24"/>
              </w:rPr>
              <w:t>that</w:t>
            </w:r>
            <w:bookmarkStart w:id="0" w:name="_GoBack"/>
            <w:bookmarkEnd w:id="0"/>
            <w:r w:rsidRPr="007B347E">
              <w:rPr>
                <w:rFonts w:ascii="Times New Roman" w:hAnsi="Times New Roman" w:cs="Times New Roman"/>
                <w:b/>
                <w:sz w:val="24"/>
                <w:szCs w:val="24"/>
              </w:rPr>
              <w:t xml:space="preserve"> is enclosed.</w:t>
            </w:r>
          </w:p>
        </w:tc>
      </w:tr>
    </w:tbl>
    <w:p w14:paraId="39C121E6" w14:textId="447D9C95" w:rsidR="002C3AF5" w:rsidRPr="00452C29" w:rsidRDefault="002C3AF5" w:rsidP="00904275">
      <w:pPr>
        <w:shd w:val="clear" w:color="auto" w:fill="FFFFFF"/>
        <w:spacing w:before="300" w:after="100" w:afterAutospacing="1" w:line="240" w:lineRule="auto"/>
        <w:rPr>
          <w:rFonts w:ascii="Times New Roman" w:eastAsia="Times New Roman" w:hAnsi="Times New Roman" w:cs="Times New Roman"/>
          <w:color w:val="232222"/>
          <w:sz w:val="24"/>
          <w:szCs w:val="24"/>
        </w:rPr>
      </w:pPr>
    </w:p>
    <w:sectPr w:rsidR="002C3AF5" w:rsidRPr="00452C29" w:rsidSect="0090427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945"/>
    <w:multiLevelType w:val="multilevel"/>
    <w:tmpl w:val="9E16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16487"/>
    <w:multiLevelType w:val="multilevel"/>
    <w:tmpl w:val="CE2C2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F3A00"/>
    <w:multiLevelType w:val="multilevel"/>
    <w:tmpl w:val="4AF29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B2398E"/>
    <w:multiLevelType w:val="multilevel"/>
    <w:tmpl w:val="9140B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84AA3"/>
    <w:multiLevelType w:val="multilevel"/>
    <w:tmpl w:val="28768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8782A"/>
    <w:multiLevelType w:val="multilevel"/>
    <w:tmpl w:val="8386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20F0A"/>
    <w:multiLevelType w:val="multilevel"/>
    <w:tmpl w:val="38B61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A39B1"/>
    <w:multiLevelType w:val="multilevel"/>
    <w:tmpl w:val="4AF29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57017A"/>
    <w:multiLevelType w:val="multilevel"/>
    <w:tmpl w:val="871C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BD65D7"/>
    <w:multiLevelType w:val="multilevel"/>
    <w:tmpl w:val="7D385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12869"/>
    <w:multiLevelType w:val="multilevel"/>
    <w:tmpl w:val="DF484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012087"/>
    <w:multiLevelType w:val="multilevel"/>
    <w:tmpl w:val="11183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2B1B74"/>
    <w:multiLevelType w:val="multilevel"/>
    <w:tmpl w:val="4AF29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4F2B9A"/>
    <w:multiLevelType w:val="multilevel"/>
    <w:tmpl w:val="F0D4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E20E96"/>
    <w:multiLevelType w:val="multilevel"/>
    <w:tmpl w:val="9EC2E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0F20BC"/>
    <w:multiLevelType w:val="multilevel"/>
    <w:tmpl w:val="4AF29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80056B"/>
    <w:multiLevelType w:val="multilevel"/>
    <w:tmpl w:val="1C80A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4E49C0"/>
    <w:multiLevelType w:val="multilevel"/>
    <w:tmpl w:val="00089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803302"/>
    <w:multiLevelType w:val="multilevel"/>
    <w:tmpl w:val="4AF29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4B0FC1"/>
    <w:multiLevelType w:val="multilevel"/>
    <w:tmpl w:val="115E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803840"/>
    <w:multiLevelType w:val="multilevel"/>
    <w:tmpl w:val="4198D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F24F4D"/>
    <w:multiLevelType w:val="multilevel"/>
    <w:tmpl w:val="06706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BF56D3"/>
    <w:multiLevelType w:val="multilevel"/>
    <w:tmpl w:val="60E0F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E96B26"/>
    <w:multiLevelType w:val="multilevel"/>
    <w:tmpl w:val="B3E4B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D0151A"/>
    <w:multiLevelType w:val="multilevel"/>
    <w:tmpl w:val="98323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4D22B2"/>
    <w:multiLevelType w:val="multilevel"/>
    <w:tmpl w:val="6F466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581A68"/>
    <w:multiLevelType w:val="multilevel"/>
    <w:tmpl w:val="86502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01442D"/>
    <w:multiLevelType w:val="multilevel"/>
    <w:tmpl w:val="4768F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623E03"/>
    <w:multiLevelType w:val="multilevel"/>
    <w:tmpl w:val="9364C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915A1C"/>
    <w:multiLevelType w:val="multilevel"/>
    <w:tmpl w:val="47028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A57DF0"/>
    <w:multiLevelType w:val="multilevel"/>
    <w:tmpl w:val="808A8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2B0A7A"/>
    <w:multiLevelType w:val="multilevel"/>
    <w:tmpl w:val="3C2CAC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900231"/>
    <w:multiLevelType w:val="multilevel"/>
    <w:tmpl w:val="A19A2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3165CB"/>
    <w:multiLevelType w:val="multilevel"/>
    <w:tmpl w:val="D520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157EF4"/>
    <w:multiLevelType w:val="multilevel"/>
    <w:tmpl w:val="4AF29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CD0669"/>
    <w:multiLevelType w:val="multilevel"/>
    <w:tmpl w:val="21EEF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D923CD"/>
    <w:multiLevelType w:val="multilevel"/>
    <w:tmpl w:val="4AF29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833A55"/>
    <w:multiLevelType w:val="multilevel"/>
    <w:tmpl w:val="15F01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7638FB"/>
    <w:multiLevelType w:val="multilevel"/>
    <w:tmpl w:val="69DEE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8"/>
  </w:num>
  <w:num w:numId="3">
    <w:abstractNumId w:val="7"/>
  </w:num>
  <w:num w:numId="4">
    <w:abstractNumId w:val="12"/>
  </w:num>
  <w:num w:numId="5">
    <w:abstractNumId w:val="36"/>
  </w:num>
  <w:num w:numId="6">
    <w:abstractNumId w:val="2"/>
  </w:num>
  <w:num w:numId="7">
    <w:abstractNumId w:val="15"/>
  </w:num>
  <w:num w:numId="8">
    <w:abstractNumId w:val="30"/>
  </w:num>
  <w:num w:numId="9">
    <w:abstractNumId w:val="0"/>
  </w:num>
  <w:num w:numId="10">
    <w:abstractNumId w:val="24"/>
  </w:num>
  <w:num w:numId="11">
    <w:abstractNumId w:val="4"/>
  </w:num>
  <w:num w:numId="12">
    <w:abstractNumId w:val="19"/>
  </w:num>
  <w:num w:numId="13">
    <w:abstractNumId w:val="29"/>
  </w:num>
  <w:num w:numId="14">
    <w:abstractNumId w:val="22"/>
  </w:num>
  <w:num w:numId="15">
    <w:abstractNumId w:val="17"/>
  </w:num>
  <w:num w:numId="16">
    <w:abstractNumId w:val="21"/>
  </w:num>
  <w:num w:numId="17">
    <w:abstractNumId w:val="38"/>
  </w:num>
  <w:num w:numId="18">
    <w:abstractNumId w:val="10"/>
  </w:num>
  <w:num w:numId="19">
    <w:abstractNumId w:val="35"/>
  </w:num>
  <w:num w:numId="20">
    <w:abstractNumId w:val="11"/>
  </w:num>
  <w:num w:numId="21">
    <w:abstractNumId w:val="13"/>
  </w:num>
  <w:num w:numId="22">
    <w:abstractNumId w:val="25"/>
  </w:num>
  <w:num w:numId="23">
    <w:abstractNumId w:val="37"/>
  </w:num>
  <w:num w:numId="24">
    <w:abstractNumId w:val="27"/>
  </w:num>
  <w:num w:numId="25">
    <w:abstractNumId w:val="14"/>
  </w:num>
  <w:num w:numId="26">
    <w:abstractNumId w:val="23"/>
  </w:num>
  <w:num w:numId="27">
    <w:abstractNumId w:val="26"/>
  </w:num>
  <w:num w:numId="28">
    <w:abstractNumId w:val="9"/>
  </w:num>
  <w:num w:numId="29">
    <w:abstractNumId w:val="16"/>
  </w:num>
  <w:num w:numId="30">
    <w:abstractNumId w:val="5"/>
  </w:num>
  <w:num w:numId="31">
    <w:abstractNumId w:val="20"/>
  </w:num>
  <w:num w:numId="32">
    <w:abstractNumId w:val="1"/>
  </w:num>
  <w:num w:numId="33">
    <w:abstractNumId w:val="28"/>
  </w:num>
  <w:num w:numId="34">
    <w:abstractNumId w:val="3"/>
  </w:num>
  <w:num w:numId="35">
    <w:abstractNumId w:val="33"/>
  </w:num>
  <w:num w:numId="36">
    <w:abstractNumId w:val="6"/>
  </w:num>
  <w:num w:numId="37">
    <w:abstractNumId w:val="32"/>
  </w:num>
  <w:num w:numId="38">
    <w:abstractNumId w:val="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CB"/>
    <w:rsid w:val="00113F38"/>
    <w:rsid w:val="001F27CB"/>
    <w:rsid w:val="0022671C"/>
    <w:rsid w:val="002C3AF5"/>
    <w:rsid w:val="00452C29"/>
    <w:rsid w:val="004E42F3"/>
    <w:rsid w:val="005871CC"/>
    <w:rsid w:val="0060716E"/>
    <w:rsid w:val="006B5341"/>
    <w:rsid w:val="00706D2B"/>
    <w:rsid w:val="007B347E"/>
    <w:rsid w:val="008A4F09"/>
    <w:rsid w:val="00904275"/>
    <w:rsid w:val="00B05F88"/>
    <w:rsid w:val="00B52E2E"/>
    <w:rsid w:val="00D8016D"/>
    <w:rsid w:val="00DB20C7"/>
    <w:rsid w:val="00DC3091"/>
    <w:rsid w:val="00DE7949"/>
    <w:rsid w:val="00E0580C"/>
    <w:rsid w:val="00EC301B"/>
    <w:rsid w:val="00ED0368"/>
    <w:rsid w:val="00F765DF"/>
    <w:rsid w:val="00FC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7430"/>
  <w15:chartTrackingRefBased/>
  <w15:docId w15:val="{980AC89E-1895-4BBA-97DA-DC4D4C46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2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2E"/>
    <w:rPr>
      <w:rFonts w:ascii="Segoe UI" w:hAnsi="Segoe UI" w:cs="Segoe UI"/>
      <w:sz w:val="18"/>
      <w:szCs w:val="18"/>
    </w:rPr>
  </w:style>
  <w:style w:type="paragraph" w:styleId="NoSpacing">
    <w:name w:val="No Spacing"/>
    <w:uiPriority w:val="1"/>
    <w:qFormat/>
    <w:rsid w:val="00113F38"/>
    <w:pPr>
      <w:spacing w:after="0" w:line="240" w:lineRule="auto"/>
    </w:pPr>
  </w:style>
  <w:style w:type="character" w:styleId="CommentReference">
    <w:name w:val="annotation reference"/>
    <w:basedOn w:val="DefaultParagraphFont"/>
    <w:uiPriority w:val="99"/>
    <w:semiHidden/>
    <w:unhideWhenUsed/>
    <w:rsid w:val="00DE7949"/>
    <w:rPr>
      <w:sz w:val="16"/>
      <w:szCs w:val="16"/>
    </w:rPr>
  </w:style>
  <w:style w:type="paragraph" w:styleId="CommentText">
    <w:name w:val="annotation text"/>
    <w:basedOn w:val="Normal"/>
    <w:link w:val="CommentTextChar"/>
    <w:uiPriority w:val="99"/>
    <w:semiHidden/>
    <w:unhideWhenUsed/>
    <w:rsid w:val="00DE7949"/>
    <w:pPr>
      <w:spacing w:line="240" w:lineRule="auto"/>
    </w:pPr>
    <w:rPr>
      <w:sz w:val="20"/>
      <w:szCs w:val="20"/>
    </w:rPr>
  </w:style>
  <w:style w:type="character" w:customStyle="1" w:styleId="CommentTextChar">
    <w:name w:val="Comment Text Char"/>
    <w:basedOn w:val="DefaultParagraphFont"/>
    <w:link w:val="CommentText"/>
    <w:uiPriority w:val="99"/>
    <w:semiHidden/>
    <w:rsid w:val="00DE7949"/>
    <w:rPr>
      <w:sz w:val="20"/>
      <w:szCs w:val="20"/>
    </w:rPr>
  </w:style>
  <w:style w:type="paragraph" w:styleId="CommentSubject">
    <w:name w:val="annotation subject"/>
    <w:basedOn w:val="CommentText"/>
    <w:next w:val="CommentText"/>
    <w:link w:val="CommentSubjectChar"/>
    <w:uiPriority w:val="99"/>
    <w:semiHidden/>
    <w:unhideWhenUsed/>
    <w:rsid w:val="00DE7949"/>
    <w:rPr>
      <w:b/>
      <w:bCs/>
    </w:rPr>
  </w:style>
  <w:style w:type="character" w:customStyle="1" w:styleId="CommentSubjectChar">
    <w:name w:val="Comment Subject Char"/>
    <w:basedOn w:val="CommentTextChar"/>
    <w:link w:val="CommentSubject"/>
    <w:uiPriority w:val="99"/>
    <w:semiHidden/>
    <w:rsid w:val="00DE79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994E8-25A5-45B2-A98F-7B3BAE08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LeClair, Jessica H.(Institute for Sustainable Energy)</dc:creator>
  <cp:keywords/>
  <dc:description/>
  <cp:lastModifiedBy>Susmitha Attota</cp:lastModifiedBy>
  <cp:revision>2</cp:revision>
  <cp:lastPrinted>2018-10-10T15:30:00Z</cp:lastPrinted>
  <dcterms:created xsi:type="dcterms:W3CDTF">2020-07-14T20:19:00Z</dcterms:created>
  <dcterms:modified xsi:type="dcterms:W3CDTF">2020-07-14T20:19:00Z</dcterms:modified>
</cp:coreProperties>
</file>